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0F6" w:rsidRDefault="004D2308" w:rsidP="004D2308">
      <w:pPr>
        <w:ind w:firstLine="708"/>
        <w:jc w:val="center"/>
        <w:rPr>
          <w:b/>
        </w:rPr>
      </w:pPr>
      <w:r>
        <w:rPr>
          <w:b/>
        </w:rPr>
        <w:t>ERRATA</w:t>
      </w:r>
    </w:p>
    <w:p w:rsidR="004D2308" w:rsidRDefault="00C058FB" w:rsidP="004D2308">
      <w:pPr>
        <w:pStyle w:val="NormalWeb"/>
        <w:jc w:val="both"/>
        <w:rPr>
          <w:rFonts w:asciiTheme="minorHAnsi" w:hAnsiTheme="minorHAnsi"/>
          <w:color w:val="222222"/>
          <w:sz w:val="22"/>
          <w:szCs w:val="20"/>
          <w:shd w:val="clear" w:color="auto" w:fill="FFFFFF"/>
        </w:rPr>
      </w:pPr>
      <w:r>
        <w:rPr>
          <w:rFonts w:asciiTheme="minorHAnsi" w:hAnsiTheme="minorHAnsi"/>
          <w:color w:val="222222"/>
          <w:sz w:val="22"/>
          <w:szCs w:val="20"/>
          <w:shd w:val="clear" w:color="auto" w:fill="FFFFFF"/>
        </w:rPr>
        <w:t>ARSAE. Nota Técnica CRFEF 26</w:t>
      </w:r>
      <w:r w:rsidR="004D2308" w:rsidRPr="00AA51EC">
        <w:rPr>
          <w:rFonts w:asciiTheme="minorHAnsi" w:hAnsiTheme="minorHAnsi"/>
          <w:color w:val="222222"/>
          <w:sz w:val="22"/>
          <w:szCs w:val="20"/>
          <w:shd w:val="clear" w:color="auto" w:fill="FFFFFF"/>
        </w:rPr>
        <w:t xml:space="preserve">/2016. </w:t>
      </w:r>
      <w:r w:rsidR="004D2308" w:rsidRPr="00945E6C">
        <w:rPr>
          <w:rFonts w:asciiTheme="minorHAnsi" w:hAnsiTheme="minorHAnsi"/>
          <w:color w:val="222222"/>
          <w:sz w:val="22"/>
          <w:szCs w:val="20"/>
          <w:shd w:val="clear" w:color="auto" w:fill="FFFFFF"/>
        </w:rPr>
        <w:t>Belo Horizonte, 2016.</w:t>
      </w:r>
    </w:p>
    <w:p w:rsidR="00ED55D8" w:rsidRPr="00AE20CD" w:rsidRDefault="003E4364" w:rsidP="00ED55D8">
      <w:pPr>
        <w:pStyle w:val="NormalWeb"/>
        <w:jc w:val="both"/>
        <w:rPr>
          <w:rFonts w:asciiTheme="minorHAnsi" w:hAnsiTheme="minorHAnsi"/>
          <w:b/>
          <w:color w:val="222222"/>
          <w:sz w:val="22"/>
          <w:szCs w:val="20"/>
          <w:shd w:val="clear" w:color="auto" w:fill="FFFFFF"/>
        </w:rPr>
      </w:pPr>
      <w:r w:rsidRPr="00ED55D8">
        <w:rPr>
          <w:rFonts w:asciiTheme="minorHAnsi" w:hAnsiTheme="minorHAnsi"/>
          <w:color w:val="222222"/>
          <w:sz w:val="22"/>
          <w:szCs w:val="20"/>
          <w:shd w:val="clear" w:color="auto" w:fill="FFFFFF"/>
        </w:rPr>
        <w:t xml:space="preserve">Os trechos </w:t>
      </w:r>
      <w:r w:rsidR="00ED55D8">
        <w:rPr>
          <w:rFonts w:asciiTheme="minorHAnsi" w:hAnsiTheme="minorHAnsi"/>
          <w:color w:val="222222"/>
          <w:sz w:val="22"/>
          <w:szCs w:val="20"/>
          <w:shd w:val="clear" w:color="auto" w:fill="FFFFFF"/>
        </w:rPr>
        <w:t xml:space="preserve">apontados no quadro </w:t>
      </w:r>
      <w:r w:rsidRPr="00ED55D8">
        <w:rPr>
          <w:rFonts w:asciiTheme="minorHAnsi" w:hAnsiTheme="minorHAnsi"/>
          <w:color w:val="222222"/>
          <w:sz w:val="22"/>
          <w:szCs w:val="20"/>
          <w:shd w:val="clear" w:color="auto" w:fill="FFFFFF"/>
        </w:rPr>
        <w:t xml:space="preserve">abaixo foram alterados na </w:t>
      </w:r>
      <w:r w:rsidR="00C058FB" w:rsidRPr="00ED55D8">
        <w:rPr>
          <w:rFonts w:asciiTheme="minorHAnsi" w:hAnsiTheme="minorHAnsi"/>
          <w:color w:val="222222"/>
          <w:sz w:val="22"/>
          <w:szCs w:val="20"/>
          <w:shd w:val="clear" w:color="auto" w:fill="FFFFFF"/>
        </w:rPr>
        <w:t>Nota Técnica CRFEF 26/2016 em 16</w:t>
      </w:r>
      <w:r w:rsidR="00ED55D8">
        <w:rPr>
          <w:rFonts w:asciiTheme="minorHAnsi" w:hAnsiTheme="minorHAnsi"/>
          <w:color w:val="222222"/>
          <w:sz w:val="22"/>
          <w:szCs w:val="20"/>
          <w:shd w:val="clear" w:color="auto" w:fill="FFFFFF"/>
        </w:rPr>
        <w:t>/03/2016 e foi corrigido</w:t>
      </w:r>
      <w:r w:rsidR="00ED55D8">
        <w:rPr>
          <w:rFonts w:asciiTheme="minorHAnsi" w:hAnsiTheme="minorHAnsi"/>
          <w:color w:val="222222"/>
          <w:sz w:val="22"/>
          <w:szCs w:val="20"/>
          <w:shd w:val="clear" w:color="auto" w:fill="FFFFFF"/>
        </w:rPr>
        <w:t xml:space="preserve"> </w:t>
      </w:r>
      <w:r w:rsidR="00ED55D8">
        <w:rPr>
          <w:rFonts w:asciiTheme="minorHAnsi" w:hAnsiTheme="minorHAnsi"/>
          <w:color w:val="222222"/>
          <w:sz w:val="22"/>
          <w:szCs w:val="20"/>
          <w:shd w:val="clear" w:color="auto" w:fill="FFFFFF"/>
        </w:rPr>
        <w:t>um erro na sequência da numeração dos tópicos do item 8</w:t>
      </w:r>
      <w:r w:rsidR="00BC74E2">
        <w:rPr>
          <w:rFonts w:asciiTheme="minorHAnsi" w:hAnsiTheme="minorHAnsi"/>
          <w:color w:val="222222"/>
          <w:sz w:val="22"/>
          <w:szCs w:val="20"/>
          <w:shd w:val="clear" w:color="auto" w:fill="FFFFFF"/>
        </w:rPr>
        <w:t xml:space="preserve"> e das tabelas</w:t>
      </w:r>
      <w:r w:rsidR="00ED55D8">
        <w:rPr>
          <w:rFonts w:asciiTheme="minorHAnsi" w:hAnsiTheme="minorHAnsi"/>
          <w:color w:val="222222"/>
          <w:sz w:val="22"/>
          <w:szCs w:val="20"/>
          <w:shd w:val="clear" w:color="auto" w:fill="FFFFFF"/>
        </w:rPr>
        <w:t xml:space="preserve">. </w:t>
      </w:r>
      <w:r w:rsidR="00ED55D8" w:rsidRPr="00ED55D8">
        <w:rPr>
          <w:rFonts w:asciiTheme="minorHAnsi" w:hAnsiTheme="minorHAnsi"/>
          <w:color w:val="222222"/>
          <w:sz w:val="22"/>
          <w:szCs w:val="20"/>
          <w:shd w:val="clear" w:color="auto" w:fill="FFFFFF"/>
        </w:rPr>
        <w:t xml:space="preserve">Cabe ressaltar que os erros </w:t>
      </w:r>
      <w:r w:rsidR="00ED55D8" w:rsidRPr="00AE20CD">
        <w:rPr>
          <w:rFonts w:asciiTheme="minorHAnsi" w:hAnsiTheme="minorHAnsi"/>
          <w:b/>
          <w:color w:val="222222"/>
          <w:sz w:val="22"/>
          <w:szCs w:val="20"/>
          <w:shd w:val="clear" w:color="auto" w:fill="FFFFFF"/>
        </w:rPr>
        <w:t>não tiveram impacto em nenhum valor nos cálculos da Revisão Tarifária.</w:t>
      </w:r>
    </w:p>
    <w:tbl>
      <w:tblPr>
        <w:tblStyle w:val="Tabelacomgrade"/>
        <w:tblW w:w="8116" w:type="dxa"/>
        <w:tblLook w:val="04A0" w:firstRow="1" w:lastRow="0" w:firstColumn="1" w:lastColumn="0" w:noHBand="0" w:noVBand="1"/>
      </w:tblPr>
      <w:tblGrid>
        <w:gridCol w:w="716"/>
        <w:gridCol w:w="1406"/>
        <w:gridCol w:w="2925"/>
        <w:gridCol w:w="3069"/>
      </w:tblGrid>
      <w:tr w:rsidR="004D2308" w:rsidTr="00ED55D8">
        <w:trPr>
          <w:trHeight w:val="341"/>
        </w:trPr>
        <w:tc>
          <w:tcPr>
            <w:tcW w:w="716" w:type="dxa"/>
          </w:tcPr>
          <w:p w:rsidR="004D2308" w:rsidRDefault="004D2308" w:rsidP="004D2308">
            <w:pPr>
              <w:rPr>
                <w:b/>
              </w:rPr>
            </w:pPr>
            <w:r>
              <w:rPr>
                <w:b/>
              </w:rPr>
              <w:t>Folha</w:t>
            </w:r>
          </w:p>
        </w:tc>
        <w:tc>
          <w:tcPr>
            <w:tcW w:w="1406" w:type="dxa"/>
          </w:tcPr>
          <w:p w:rsidR="004D2308" w:rsidRDefault="00CE55B6" w:rsidP="004D2308">
            <w:pPr>
              <w:rPr>
                <w:b/>
              </w:rPr>
            </w:pPr>
            <w:r>
              <w:rPr>
                <w:b/>
              </w:rPr>
              <w:t>Tópico</w:t>
            </w:r>
          </w:p>
        </w:tc>
        <w:tc>
          <w:tcPr>
            <w:tcW w:w="2925" w:type="dxa"/>
          </w:tcPr>
          <w:p w:rsidR="004D2308" w:rsidRDefault="004D2308" w:rsidP="00AE04AC">
            <w:pPr>
              <w:rPr>
                <w:b/>
              </w:rPr>
            </w:pPr>
            <w:r>
              <w:rPr>
                <w:b/>
              </w:rPr>
              <w:t>Onde se l</w:t>
            </w:r>
            <w:r w:rsidR="00AE04AC">
              <w:rPr>
                <w:b/>
              </w:rPr>
              <w:t>ia</w:t>
            </w:r>
            <w:r>
              <w:rPr>
                <w:b/>
              </w:rPr>
              <w:t xml:space="preserve">   </w:t>
            </w:r>
          </w:p>
        </w:tc>
        <w:tc>
          <w:tcPr>
            <w:tcW w:w="3069" w:type="dxa"/>
          </w:tcPr>
          <w:p w:rsidR="004D2308" w:rsidRDefault="004D2308" w:rsidP="004D2308">
            <w:pPr>
              <w:rPr>
                <w:b/>
              </w:rPr>
            </w:pPr>
            <w:r>
              <w:rPr>
                <w:b/>
              </w:rPr>
              <w:t xml:space="preserve">Leia-se </w:t>
            </w:r>
          </w:p>
        </w:tc>
      </w:tr>
      <w:tr w:rsidR="00CE55B6" w:rsidTr="00ED55D8">
        <w:trPr>
          <w:trHeight w:val="341"/>
        </w:trPr>
        <w:tc>
          <w:tcPr>
            <w:tcW w:w="716" w:type="dxa"/>
            <w:vMerge w:val="restart"/>
          </w:tcPr>
          <w:p w:rsidR="00CE55B6" w:rsidRPr="004D2308" w:rsidRDefault="00CE55B6" w:rsidP="004D2308">
            <w:r>
              <w:t>26</w:t>
            </w:r>
          </w:p>
        </w:tc>
        <w:tc>
          <w:tcPr>
            <w:tcW w:w="1406" w:type="dxa"/>
            <w:vMerge w:val="restart"/>
          </w:tcPr>
          <w:p w:rsidR="00CE55B6" w:rsidRPr="004D2308" w:rsidRDefault="00CE55B6" w:rsidP="004D2308">
            <w:r>
              <w:t>Impostos e Taxas</w:t>
            </w:r>
          </w:p>
        </w:tc>
        <w:tc>
          <w:tcPr>
            <w:tcW w:w="2925" w:type="dxa"/>
          </w:tcPr>
          <w:p w:rsidR="00CE55B6" w:rsidRPr="004D2308" w:rsidRDefault="00CE55B6" w:rsidP="004D2308">
            <w:r>
              <w:t xml:space="preserve">Pasep e </w:t>
            </w:r>
            <w:proofErr w:type="spellStart"/>
            <w:r>
              <w:t>Cofins</w:t>
            </w:r>
            <w:proofErr w:type="spellEnd"/>
          </w:p>
        </w:tc>
        <w:tc>
          <w:tcPr>
            <w:tcW w:w="3069" w:type="dxa"/>
          </w:tcPr>
          <w:p w:rsidR="00CE55B6" w:rsidRDefault="00CE55B6" w:rsidP="004D2308">
            <w:r>
              <w:t xml:space="preserve">PIS e </w:t>
            </w:r>
            <w:proofErr w:type="spellStart"/>
            <w:r>
              <w:t>Cofins</w:t>
            </w:r>
            <w:proofErr w:type="spellEnd"/>
          </w:p>
        </w:tc>
      </w:tr>
      <w:tr w:rsidR="00CE55B6" w:rsidTr="00ED55D8">
        <w:trPr>
          <w:trHeight w:val="341"/>
        </w:trPr>
        <w:tc>
          <w:tcPr>
            <w:tcW w:w="716" w:type="dxa"/>
            <w:vMerge/>
          </w:tcPr>
          <w:p w:rsidR="00CE55B6" w:rsidRPr="004D2308" w:rsidRDefault="00CE55B6" w:rsidP="004D2308"/>
        </w:tc>
        <w:tc>
          <w:tcPr>
            <w:tcW w:w="1406" w:type="dxa"/>
            <w:vMerge/>
          </w:tcPr>
          <w:p w:rsidR="00CE55B6" w:rsidRPr="004D2308" w:rsidRDefault="00CE55B6" w:rsidP="004D2308"/>
        </w:tc>
        <w:tc>
          <w:tcPr>
            <w:tcW w:w="2925" w:type="dxa"/>
          </w:tcPr>
          <w:p w:rsidR="00CE55B6" w:rsidRPr="004D2308" w:rsidRDefault="00CE55B6" w:rsidP="00CE55B6">
            <w:r>
              <w:t>O Pasep (</w:t>
            </w:r>
            <w:r>
              <w:t>Programa de Formação de Patrimônio do Servidor Público</w:t>
            </w:r>
            <w:r>
              <w:t>)</w:t>
            </w:r>
          </w:p>
        </w:tc>
        <w:tc>
          <w:tcPr>
            <w:tcW w:w="3069" w:type="dxa"/>
          </w:tcPr>
          <w:p w:rsidR="00CE55B6" w:rsidRDefault="00CE55B6" w:rsidP="004D2308">
            <w:pPr>
              <w:rPr>
                <w:b/>
              </w:rPr>
            </w:pPr>
            <w:r>
              <w:t>O PIS (Programa de Integração Social)</w:t>
            </w:r>
          </w:p>
        </w:tc>
      </w:tr>
      <w:tr w:rsidR="00ED55D8" w:rsidTr="00ED55D8">
        <w:trPr>
          <w:trHeight w:val="341"/>
        </w:trPr>
        <w:tc>
          <w:tcPr>
            <w:tcW w:w="716" w:type="dxa"/>
          </w:tcPr>
          <w:p w:rsidR="00ED55D8" w:rsidRPr="004D2308" w:rsidRDefault="00ED55D8" w:rsidP="004D2308">
            <w:r>
              <w:t>28</w:t>
            </w:r>
          </w:p>
        </w:tc>
        <w:tc>
          <w:tcPr>
            <w:tcW w:w="1406" w:type="dxa"/>
          </w:tcPr>
          <w:p w:rsidR="00ED55D8" w:rsidRPr="004D2308" w:rsidRDefault="00ED55D8" w:rsidP="004D2308">
            <w:r>
              <w:t>Resultado da Atualização Monetária</w:t>
            </w:r>
          </w:p>
        </w:tc>
        <w:tc>
          <w:tcPr>
            <w:tcW w:w="2925" w:type="dxa"/>
          </w:tcPr>
          <w:p w:rsidR="00ED55D8" w:rsidRPr="00AE20CD" w:rsidRDefault="00ED55D8" w:rsidP="00CE55B6">
            <w:pPr>
              <w:rPr>
                <w:rFonts w:cs="Times New Roman"/>
              </w:rPr>
            </w:pPr>
            <w:r w:rsidRPr="00D90ED6">
              <w:rPr>
                <w:rFonts w:cs="Times New Roman"/>
              </w:rPr>
              <w:t xml:space="preserve">O resultado da atualização monetária dos componentes da receita tarifária da Copasa é apresentado na tabela abaixo. A variação média </w:t>
            </w:r>
            <w:r w:rsidRPr="00ED55D8">
              <w:rPr>
                <w:rFonts w:cs="Times New Roman"/>
                <w:b/>
              </w:rPr>
              <w:t>dos custos</w:t>
            </w:r>
            <w:r>
              <w:rPr>
                <w:rFonts w:cs="Times New Roman"/>
              </w:rPr>
              <w:t xml:space="preserve"> </w:t>
            </w:r>
            <w:r w:rsidRPr="00D90ED6">
              <w:rPr>
                <w:rFonts w:cs="Times New Roman"/>
              </w:rPr>
              <w:t>foi de 7,03%, que representa a inflação sentida pelo prestador no período de maio de 2015 a abril de 2016.</w:t>
            </w:r>
            <w:bookmarkStart w:id="0" w:name="_GoBack"/>
            <w:bookmarkEnd w:id="0"/>
          </w:p>
        </w:tc>
        <w:tc>
          <w:tcPr>
            <w:tcW w:w="3069" w:type="dxa"/>
          </w:tcPr>
          <w:p w:rsidR="00ED55D8" w:rsidRDefault="00ED55D8" w:rsidP="004D2308">
            <w:r w:rsidRPr="00D90ED6">
              <w:rPr>
                <w:rFonts w:cs="Times New Roman"/>
              </w:rPr>
              <w:t xml:space="preserve">O resultado da atualização monetária dos componentes da receita tarifária da Copasa é apresentado na tabela abaixo. A variação média </w:t>
            </w:r>
            <w:r w:rsidRPr="00ED55D8">
              <w:rPr>
                <w:rFonts w:cs="Times New Roman"/>
                <w:b/>
              </w:rPr>
              <w:t>da receita</w:t>
            </w:r>
            <w:r>
              <w:rPr>
                <w:rFonts w:cs="Times New Roman"/>
              </w:rPr>
              <w:t xml:space="preserve"> </w:t>
            </w:r>
            <w:r w:rsidRPr="00D90ED6">
              <w:rPr>
                <w:rFonts w:cs="Times New Roman"/>
              </w:rPr>
              <w:t>foi de 7,03%, que representa a inflação sentida pelo prestador no período de maio de 2015 a abril de 2016.</w:t>
            </w:r>
          </w:p>
        </w:tc>
      </w:tr>
    </w:tbl>
    <w:p w:rsidR="004D2308" w:rsidRDefault="004D2308" w:rsidP="004D2308">
      <w:pPr>
        <w:rPr>
          <w:b/>
        </w:rPr>
      </w:pPr>
    </w:p>
    <w:p w:rsidR="004D2308" w:rsidRPr="004D2308" w:rsidRDefault="004D2308" w:rsidP="004D2308">
      <w:pPr>
        <w:jc w:val="both"/>
        <w:rPr>
          <w:b/>
        </w:rPr>
      </w:pPr>
      <w:r>
        <w:rPr>
          <w:b/>
        </w:rPr>
        <w:tab/>
      </w:r>
    </w:p>
    <w:sectPr w:rsidR="004D2308" w:rsidRPr="004D23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308"/>
    <w:rsid w:val="003E0F56"/>
    <w:rsid w:val="003E4364"/>
    <w:rsid w:val="004D2308"/>
    <w:rsid w:val="008D20F6"/>
    <w:rsid w:val="00AE04AC"/>
    <w:rsid w:val="00AE20CD"/>
    <w:rsid w:val="00BC74E2"/>
    <w:rsid w:val="00C058FB"/>
    <w:rsid w:val="00CE55B6"/>
    <w:rsid w:val="00ED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F1DCA-68FB-4D8C-B44E-01CB4D4A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2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4D2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Antônio César Da Matta De Jesus (ARSAEMG)</dc:creator>
  <cp:keywords/>
  <dc:description/>
  <cp:lastModifiedBy>Vanessa Miranda Barbosa (ARSAEMG)</cp:lastModifiedBy>
  <cp:revision>6</cp:revision>
  <cp:lastPrinted>2016-03-14T14:25:00Z</cp:lastPrinted>
  <dcterms:created xsi:type="dcterms:W3CDTF">2016-03-14T12:31:00Z</dcterms:created>
  <dcterms:modified xsi:type="dcterms:W3CDTF">2016-03-16T18:16:00Z</dcterms:modified>
</cp:coreProperties>
</file>